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553B5" w:rsidRDefault="004E0A9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Artículo: “Ambivalence in machine intelligence: the epistemological roots of the Turing </w:t>
      </w:r>
      <w:proofErr w:type="gramStart"/>
      <w:r>
        <w:rPr>
          <w:rFonts w:ascii="Times New Roman" w:eastAsia="Times New Roman" w:hAnsi="Times New Roman" w:cs="Times New Roman"/>
          <w:i/>
          <w:sz w:val="24"/>
          <w:szCs w:val="24"/>
        </w:rPr>
        <w:t>Machine“</w:t>
      </w:r>
      <w:proofErr w:type="gramEnd"/>
    </w:p>
    <w:p w14:paraId="00000002" w14:textId="77777777" w:rsidR="00D553B5" w:rsidRDefault="004E0A9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Traducciones del español al inglés:</w:t>
      </w:r>
    </w:p>
    <w:p w14:paraId="00000003" w14:textId="77777777" w:rsidR="00D553B5" w:rsidRDefault="00D553B5">
      <w:pPr>
        <w:spacing w:line="360" w:lineRule="auto"/>
        <w:jc w:val="both"/>
        <w:rPr>
          <w:rFonts w:ascii="Times New Roman" w:eastAsia="Times New Roman" w:hAnsi="Times New Roman" w:cs="Times New Roman"/>
          <w:sz w:val="24"/>
          <w:szCs w:val="24"/>
        </w:rPr>
      </w:pPr>
    </w:p>
    <w:p w14:paraId="00000004" w14:textId="77777777" w:rsidR="00D553B5" w:rsidRDefault="004E0A9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Ortega y Gasset:</w:t>
      </w:r>
    </w:p>
    <w:p w14:paraId="00000005" w14:textId="77777777" w:rsidR="00D553B5" w:rsidRDefault="00D553B5">
      <w:pPr>
        <w:spacing w:line="360" w:lineRule="auto"/>
        <w:jc w:val="both"/>
        <w:rPr>
          <w:rFonts w:ascii="Times New Roman" w:eastAsia="Times New Roman" w:hAnsi="Times New Roman" w:cs="Times New Roman"/>
          <w:sz w:val="24"/>
          <w:szCs w:val="24"/>
        </w:rPr>
      </w:pPr>
    </w:p>
    <w:p w14:paraId="00000006"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 </w:t>
      </w:r>
      <w:proofErr w:type="gramStart"/>
      <w:r>
        <w:rPr>
          <w:rFonts w:ascii="Times New Roman" w:eastAsia="Times New Roman" w:hAnsi="Times New Roman" w:cs="Times New Roman"/>
          <w:sz w:val="24"/>
          <w:szCs w:val="24"/>
        </w:rPr>
        <w:t>[...]”los</w:t>
      </w:r>
      <w:proofErr w:type="gramEnd"/>
      <w:r>
        <w:rPr>
          <w:rFonts w:ascii="Times New Roman" w:eastAsia="Times New Roman" w:hAnsi="Times New Roman" w:cs="Times New Roman"/>
          <w:sz w:val="24"/>
          <w:szCs w:val="24"/>
        </w:rPr>
        <w:t xml:space="preserve"> «primeros principios» no sean verdad. Esto no implica, claro está, que sean falsos; dice tan solo que </w:t>
      </w:r>
      <w:r>
        <w:rPr>
          <w:rFonts w:ascii="Times New Roman" w:eastAsia="Times New Roman" w:hAnsi="Times New Roman" w:cs="Times New Roman"/>
          <w:i/>
          <w:sz w:val="24"/>
          <w:szCs w:val="24"/>
        </w:rPr>
        <w:t>son indiferentes a su propia verdad</w:t>
      </w:r>
      <w:r>
        <w:rPr>
          <w:rFonts w:ascii="Times New Roman" w:eastAsia="Times New Roman" w:hAnsi="Times New Roman" w:cs="Times New Roman"/>
          <w:sz w:val="24"/>
          <w:szCs w:val="24"/>
        </w:rPr>
        <w:t xml:space="preserve">” </w:t>
      </w:r>
    </w:p>
    <w:p w14:paraId="00000007" w14:textId="77777777" w:rsidR="00D553B5" w:rsidRDefault="00D553B5">
      <w:pPr>
        <w:spacing w:line="360" w:lineRule="auto"/>
        <w:jc w:val="both"/>
        <w:rPr>
          <w:rFonts w:ascii="Times New Roman" w:eastAsia="Times New Roman" w:hAnsi="Times New Roman" w:cs="Times New Roman"/>
          <w:sz w:val="24"/>
          <w:szCs w:val="24"/>
        </w:rPr>
      </w:pPr>
    </w:p>
    <w:p w14:paraId="00000008"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 Pr.: first principles “indifferent to their own truth” (Ortega y Gasset, 1958: 6) </w:t>
      </w:r>
    </w:p>
    <w:p w14:paraId="00000009" w14:textId="77777777" w:rsidR="00D553B5" w:rsidRDefault="00D553B5">
      <w:pPr>
        <w:spacing w:line="360" w:lineRule="auto"/>
        <w:jc w:val="both"/>
        <w:rPr>
          <w:rFonts w:ascii="Times New Roman" w:eastAsia="Times New Roman" w:hAnsi="Times New Roman" w:cs="Times New Roman"/>
          <w:sz w:val="24"/>
          <w:szCs w:val="24"/>
        </w:rPr>
      </w:pPr>
    </w:p>
    <w:p w14:paraId="0000000A" w14:textId="77777777" w:rsidR="00D553B5" w:rsidRDefault="004E0A94">
      <w:pPr>
        <w:spacing w:line="360" w:lineRule="auto"/>
        <w:ind w:righ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eastAsia="Times New Roman" w:hAnsi="Times New Roman" w:cs="Times New Roman"/>
          <w:sz w:val="24"/>
          <w:szCs w:val="24"/>
        </w:rPr>
        <w:t xml:space="preserve"> Ortega y Gasset (1958), “</w:t>
      </w:r>
      <w:r>
        <w:rPr>
          <w:rFonts w:ascii="Times New Roman" w:eastAsia="Times New Roman" w:hAnsi="Times New Roman" w:cs="Times New Roman"/>
          <w:i/>
          <w:sz w:val="24"/>
          <w:szCs w:val="24"/>
        </w:rPr>
        <w:t>La idea de principio en Leibniz y la evolución de la teoría deductiva</w:t>
      </w:r>
      <w:r>
        <w:rPr>
          <w:rFonts w:ascii="Times New Roman" w:eastAsia="Times New Roman" w:hAnsi="Times New Roman" w:cs="Times New Roman"/>
          <w:sz w:val="24"/>
          <w:szCs w:val="24"/>
        </w:rPr>
        <w:t>”. Buenos Aires: Revista de Occidente/Emece.</w:t>
      </w:r>
    </w:p>
    <w:p w14:paraId="0000000B" w14:textId="77777777" w:rsidR="00D553B5" w:rsidRDefault="00D553B5">
      <w:pPr>
        <w:spacing w:line="360" w:lineRule="auto"/>
        <w:jc w:val="both"/>
        <w:rPr>
          <w:rFonts w:ascii="Times New Roman" w:eastAsia="Times New Roman" w:hAnsi="Times New Roman" w:cs="Times New Roman"/>
          <w:sz w:val="24"/>
          <w:szCs w:val="24"/>
        </w:rPr>
      </w:pPr>
    </w:p>
    <w:p w14:paraId="0000000C" w14:textId="77777777" w:rsidR="00D553B5" w:rsidRDefault="00D553B5">
      <w:pPr>
        <w:spacing w:line="360" w:lineRule="auto"/>
        <w:jc w:val="both"/>
        <w:rPr>
          <w:rFonts w:ascii="Times New Roman" w:eastAsia="Times New Roman" w:hAnsi="Times New Roman" w:cs="Times New Roman"/>
          <w:sz w:val="24"/>
          <w:szCs w:val="24"/>
        </w:rPr>
      </w:pPr>
    </w:p>
    <w:p w14:paraId="0000000D" w14:textId="77777777" w:rsidR="00D553B5" w:rsidRDefault="004E0A9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Javier Blanco:</w:t>
      </w:r>
    </w:p>
    <w:p w14:paraId="0000000E" w14:textId="77777777" w:rsidR="00D553B5" w:rsidRDefault="00D553B5">
      <w:pPr>
        <w:spacing w:line="360" w:lineRule="auto"/>
        <w:jc w:val="both"/>
        <w:rPr>
          <w:rFonts w:ascii="Times New Roman" w:eastAsia="Times New Roman" w:hAnsi="Times New Roman" w:cs="Times New Roman"/>
          <w:sz w:val="24"/>
          <w:szCs w:val="24"/>
        </w:rPr>
      </w:pPr>
    </w:p>
    <w:p w14:paraId="0000000F"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w:t>
      </w:r>
      <w:r>
        <w:rPr>
          <w:rFonts w:ascii="Times New Roman" w:eastAsia="Times New Roman" w:hAnsi="Times New Roman" w:cs="Times New Roman"/>
          <w:i/>
          <w:sz w:val="24"/>
          <w:szCs w:val="24"/>
        </w:rPr>
        <w:t>la imposibilidad de resolver de manera mecánica el halting problem lleva a que su compo</w:t>
      </w:r>
      <w:r>
        <w:rPr>
          <w:rFonts w:ascii="Times New Roman" w:eastAsia="Times New Roman" w:hAnsi="Times New Roman" w:cs="Times New Roman"/>
          <w:i/>
          <w:sz w:val="24"/>
          <w:szCs w:val="24"/>
        </w:rPr>
        <w:t>rtamiento no pueda predecirse pese a ser determinístico; que lo mejor que puede hacerse es llevar adelante la ejecución de la máquina para ese caso particular y ver qué ocurre, teniendo que asumir que algunas veces no ocurrirá nada visible, la máquina qued</w:t>
      </w:r>
      <w:r>
        <w:rPr>
          <w:rFonts w:ascii="Times New Roman" w:eastAsia="Times New Roman" w:hAnsi="Times New Roman" w:cs="Times New Roman"/>
          <w:i/>
          <w:sz w:val="24"/>
          <w:szCs w:val="24"/>
        </w:rPr>
        <w:t>ará procesando indefinidamente. Podemos explicar mecánicamente cada paso del comportamiento de esta máquina sin por ello poder saber cómo se comportará globalmente</w:t>
      </w:r>
      <w:r>
        <w:rPr>
          <w:rFonts w:ascii="Times New Roman" w:eastAsia="Times New Roman" w:hAnsi="Times New Roman" w:cs="Times New Roman"/>
          <w:sz w:val="24"/>
          <w:szCs w:val="24"/>
        </w:rPr>
        <w:t>”.</w:t>
      </w:r>
    </w:p>
    <w:p w14:paraId="00000010" w14:textId="77777777" w:rsidR="00D553B5" w:rsidRDefault="00D553B5">
      <w:pPr>
        <w:spacing w:line="360" w:lineRule="auto"/>
        <w:jc w:val="both"/>
        <w:rPr>
          <w:rFonts w:ascii="Times New Roman" w:eastAsia="Times New Roman" w:hAnsi="Times New Roman" w:cs="Times New Roman"/>
          <w:sz w:val="24"/>
          <w:szCs w:val="24"/>
        </w:rPr>
      </w:pPr>
    </w:p>
    <w:p w14:paraId="00000011"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 Pr.: “The impossibility of solving the halting problem mechanically means that its be</w:t>
      </w:r>
      <w:r>
        <w:rPr>
          <w:rFonts w:ascii="Times New Roman" w:eastAsia="Times New Roman" w:hAnsi="Times New Roman" w:cs="Times New Roman"/>
          <w:sz w:val="24"/>
          <w:szCs w:val="24"/>
        </w:rPr>
        <w:t>havior cannot be predicted despite being deterministic; that the best that can be done is to carry out the execution of the machine for that particular case and see what happens, having to assume that sometimes nothing visible will happen, the machine will</w:t>
      </w:r>
      <w:r>
        <w:rPr>
          <w:rFonts w:ascii="Times New Roman" w:eastAsia="Times New Roman" w:hAnsi="Times New Roman" w:cs="Times New Roman"/>
          <w:sz w:val="24"/>
          <w:szCs w:val="24"/>
        </w:rPr>
        <w:t xml:space="preserve"> remain processing indefinitely. We can mechanically explain each step of the behavior of this machine without being able to know how it will behave globally”. (Blanco, 2014: 8).</w:t>
      </w:r>
    </w:p>
    <w:p w14:paraId="00000012" w14:textId="77777777" w:rsidR="00D553B5" w:rsidRDefault="00D553B5">
      <w:pPr>
        <w:spacing w:line="360" w:lineRule="auto"/>
        <w:jc w:val="both"/>
        <w:rPr>
          <w:rFonts w:ascii="Times New Roman" w:eastAsia="Times New Roman" w:hAnsi="Times New Roman" w:cs="Times New Roman"/>
          <w:sz w:val="24"/>
          <w:szCs w:val="24"/>
        </w:rPr>
      </w:pPr>
    </w:p>
    <w:p w14:paraId="00000015" w14:textId="612F3E9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 (2014): “</w:t>
      </w:r>
      <w:r>
        <w:rPr>
          <w:rFonts w:ascii="Times New Roman" w:eastAsia="Times New Roman" w:hAnsi="Times New Roman" w:cs="Times New Roman"/>
          <w:i/>
          <w:sz w:val="24"/>
          <w:szCs w:val="24"/>
        </w:rPr>
        <w:t>Pensar y Calcular</w:t>
      </w:r>
      <w:r>
        <w:rPr>
          <w:rFonts w:ascii="Times New Roman" w:eastAsia="Times New Roman" w:hAnsi="Times New Roman" w:cs="Times New Roman"/>
          <w:sz w:val="24"/>
          <w:szCs w:val="24"/>
        </w:rPr>
        <w:t>”. Revista Nombres del Centro de Inves</w:t>
      </w:r>
      <w:r>
        <w:rPr>
          <w:rFonts w:ascii="Times New Roman" w:eastAsia="Times New Roman" w:hAnsi="Times New Roman" w:cs="Times New Roman"/>
          <w:sz w:val="24"/>
          <w:szCs w:val="24"/>
        </w:rPr>
        <w:t>tigaciones "María Saleme de Burnichón", Facultad de Filosofía y Humanidades, Universidad Nacional de Córdoba.</w:t>
      </w:r>
    </w:p>
    <w:p w14:paraId="00000016" w14:textId="77777777" w:rsidR="00D553B5" w:rsidRDefault="00D553B5">
      <w:pPr>
        <w:spacing w:line="360" w:lineRule="auto"/>
        <w:jc w:val="both"/>
        <w:rPr>
          <w:rFonts w:ascii="Times New Roman" w:eastAsia="Times New Roman" w:hAnsi="Times New Roman" w:cs="Times New Roman"/>
          <w:sz w:val="24"/>
          <w:szCs w:val="24"/>
        </w:rPr>
      </w:pPr>
    </w:p>
    <w:p w14:paraId="00000017" w14:textId="77777777" w:rsidR="00D553B5" w:rsidRDefault="004E0A9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Javier Blanco</w:t>
      </w:r>
    </w:p>
    <w:p w14:paraId="00000018" w14:textId="77777777" w:rsidR="00D553B5" w:rsidRDefault="00D553B5">
      <w:pPr>
        <w:spacing w:line="360" w:lineRule="auto"/>
        <w:jc w:val="both"/>
        <w:rPr>
          <w:rFonts w:ascii="Times New Roman" w:eastAsia="Times New Roman" w:hAnsi="Times New Roman" w:cs="Times New Roman"/>
          <w:sz w:val="24"/>
          <w:szCs w:val="24"/>
        </w:rPr>
      </w:pPr>
    </w:p>
    <w:p w14:paraId="00000019"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 “Una máquina de Turing, que es como el inicio de la computación, el modelo formal más aceptado hoy, era </w:t>
      </w:r>
      <w:r>
        <w:rPr>
          <w:rFonts w:ascii="Times New Roman" w:eastAsia="Times New Roman" w:hAnsi="Times New Roman" w:cs="Times New Roman"/>
          <w:i/>
          <w:sz w:val="24"/>
          <w:szCs w:val="24"/>
        </w:rPr>
        <w:t>una máquina esen</w:t>
      </w:r>
      <w:r>
        <w:rPr>
          <w:rFonts w:ascii="Times New Roman" w:eastAsia="Times New Roman" w:hAnsi="Times New Roman" w:cs="Times New Roman"/>
          <w:i/>
          <w:sz w:val="24"/>
          <w:szCs w:val="24"/>
        </w:rPr>
        <w:t>cialmente compleja</w:t>
      </w:r>
      <w:r>
        <w:rPr>
          <w:rFonts w:ascii="Times New Roman" w:eastAsia="Times New Roman" w:hAnsi="Times New Roman" w:cs="Times New Roman"/>
          <w:sz w:val="24"/>
          <w:szCs w:val="24"/>
        </w:rPr>
        <w:t>”.</w:t>
      </w:r>
    </w:p>
    <w:p w14:paraId="0000001A" w14:textId="77777777" w:rsidR="00D553B5" w:rsidRDefault="00D553B5">
      <w:pPr>
        <w:spacing w:line="360" w:lineRule="auto"/>
        <w:jc w:val="both"/>
        <w:rPr>
          <w:rFonts w:ascii="Times New Roman" w:eastAsia="Times New Roman" w:hAnsi="Times New Roman" w:cs="Times New Roman"/>
          <w:sz w:val="24"/>
          <w:szCs w:val="24"/>
        </w:rPr>
      </w:pPr>
    </w:p>
    <w:p w14:paraId="0000001B"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 Pr.: This “essentially complex machine” (Blanco, 2013) </w:t>
      </w:r>
    </w:p>
    <w:p w14:paraId="0000001C" w14:textId="77777777" w:rsidR="00D553B5" w:rsidRDefault="00D553B5">
      <w:pPr>
        <w:spacing w:line="360" w:lineRule="auto"/>
        <w:jc w:val="both"/>
        <w:rPr>
          <w:rFonts w:ascii="Times New Roman" w:eastAsia="Times New Roman" w:hAnsi="Times New Roman" w:cs="Times New Roman"/>
          <w:sz w:val="24"/>
          <w:szCs w:val="24"/>
        </w:rPr>
      </w:pPr>
    </w:p>
    <w:p w14:paraId="0000001D"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Blanco, J. (2013): “</w:t>
      </w:r>
      <w:r>
        <w:rPr>
          <w:rFonts w:ascii="Times New Roman" w:eastAsia="Times New Roman" w:hAnsi="Times New Roman" w:cs="Times New Roman"/>
          <w:i/>
          <w:sz w:val="24"/>
          <w:szCs w:val="24"/>
        </w:rPr>
        <w:t>Una máquina que puede hacer todo</w:t>
      </w:r>
      <w:r>
        <w:rPr>
          <w:rFonts w:ascii="Times New Roman" w:eastAsia="Times New Roman" w:hAnsi="Times New Roman" w:cs="Times New Roman"/>
          <w:sz w:val="24"/>
          <w:szCs w:val="24"/>
        </w:rPr>
        <w:t>”. Buenos Aires: Página 12.</w:t>
      </w:r>
    </w:p>
    <w:p w14:paraId="0000001E"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URL= https://www.pagina12.com.ar/diario/ciencia/19-218171-2013-04-17.html</w:t>
      </w:r>
    </w:p>
    <w:p w14:paraId="0000001F" w14:textId="77777777" w:rsidR="00D553B5" w:rsidRDefault="00D553B5">
      <w:pPr>
        <w:spacing w:line="360" w:lineRule="auto"/>
        <w:jc w:val="both"/>
        <w:rPr>
          <w:rFonts w:ascii="Times New Roman" w:eastAsia="Times New Roman" w:hAnsi="Times New Roman" w:cs="Times New Roman"/>
          <w:sz w:val="24"/>
          <w:szCs w:val="24"/>
        </w:rPr>
      </w:pPr>
    </w:p>
    <w:p w14:paraId="00000020" w14:textId="77777777" w:rsidR="00D553B5" w:rsidRDefault="004E0A9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Blanco y Rodríguez</w:t>
      </w:r>
    </w:p>
    <w:p w14:paraId="00000021" w14:textId="77777777" w:rsidR="00D553B5" w:rsidRDefault="00D553B5">
      <w:pPr>
        <w:spacing w:line="360" w:lineRule="auto"/>
        <w:jc w:val="both"/>
        <w:rPr>
          <w:rFonts w:ascii="Times New Roman" w:eastAsia="Times New Roman" w:hAnsi="Times New Roman" w:cs="Times New Roman"/>
          <w:sz w:val="24"/>
          <w:szCs w:val="24"/>
        </w:rPr>
      </w:pPr>
    </w:p>
    <w:p w14:paraId="00000022"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“Como bien marca Mathieu Triclot, el problema fundamenal es el estatuto de las reglas, si son estas fijadas a priori o si emergen como regularidades de</w:t>
      </w:r>
      <w:r>
        <w:rPr>
          <w:rFonts w:ascii="Times New Roman" w:eastAsia="Times New Roman" w:hAnsi="Times New Roman" w:cs="Times New Roman"/>
          <w:sz w:val="24"/>
          <w:szCs w:val="24"/>
        </w:rPr>
        <w:t xml:space="preserve"> un proceso de aprendizaje”. </w:t>
      </w:r>
    </w:p>
    <w:p w14:paraId="00000023" w14:textId="77777777" w:rsidR="00D553B5" w:rsidRDefault="00D553B5">
      <w:pPr>
        <w:spacing w:line="360" w:lineRule="auto"/>
        <w:jc w:val="both"/>
        <w:rPr>
          <w:rFonts w:ascii="Times New Roman" w:eastAsia="Times New Roman" w:hAnsi="Times New Roman" w:cs="Times New Roman"/>
          <w:sz w:val="24"/>
          <w:szCs w:val="24"/>
        </w:rPr>
      </w:pPr>
    </w:p>
    <w:p w14:paraId="00000024"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 Pr.: "As Mathieu Triclot correctly points out, the fundamental problem is the statute of the rules, if they are fixed a priori or if they emerge as regularities from a learning process" (Blanco, Rodríguez, 2015: 105). </w:t>
      </w:r>
    </w:p>
    <w:p w14:paraId="00000025" w14:textId="77777777" w:rsidR="00D553B5" w:rsidRDefault="00D553B5">
      <w:pPr>
        <w:spacing w:line="360" w:lineRule="auto"/>
        <w:jc w:val="both"/>
        <w:rPr>
          <w:rFonts w:ascii="Times New Roman" w:eastAsia="Times New Roman" w:hAnsi="Times New Roman" w:cs="Times New Roman"/>
          <w:sz w:val="24"/>
          <w:szCs w:val="24"/>
        </w:rPr>
      </w:pPr>
    </w:p>
    <w:p w14:paraId="00000026"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ource: Blanco, J., Parente, D., Rodriguez, P. y Vaccari, A. (coords.) (2015). “</w:t>
      </w:r>
      <w:r>
        <w:rPr>
          <w:rFonts w:ascii="Times New Roman" w:eastAsia="Times New Roman" w:hAnsi="Times New Roman" w:cs="Times New Roman"/>
          <w:i/>
          <w:sz w:val="24"/>
          <w:szCs w:val="24"/>
        </w:rPr>
        <w:t>Amar a las máquinas – Cultura y técnica en Gilbert Simondon”</w:t>
      </w:r>
      <w:r>
        <w:rPr>
          <w:rFonts w:ascii="Times New Roman" w:eastAsia="Times New Roman" w:hAnsi="Times New Roman" w:cs="Times New Roman"/>
          <w:sz w:val="24"/>
          <w:szCs w:val="24"/>
        </w:rPr>
        <w:t>, Prometeo, Buenos Aires.</w:t>
      </w:r>
    </w:p>
    <w:p w14:paraId="00000027" w14:textId="77777777" w:rsidR="00D553B5" w:rsidRDefault="00D553B5">
      <w:pPr>
        <w:spacing w:line="360" w:lineRule="auto"/>
        <w:jc w:val="both"/>
        <w:rPr>
          <w:rFonts w:ascii="Times New Roman" w:eastAsia="Times New Roman" w:hAnsi="Times New Roman" w:cs="Times New Roman"/>
          <w:sz w:val="24"/>
          <w:szCs w:val="24"/>
        </w:rPr>
      </w:pPr>
    </w:p>
    <w:p w14:paraId="00000028" w14:textId="77777777" w:rsidR="00D553B5" w:rsidRDefault="004E0A9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Jorge Luis Borges </w:t>
      </w:r>
    </w:p>
    <w:p w14:paraId="00000029" w14:textId="77777777" w:rsidR="00D553B5" w:rsidRDefault="00D553B5">
      <w:pPr>
        <w:spacing w:line="360" w:lineRule="auto"/>
        <w:jc w:val="both"/>
        <w:rPr>
          <w:rFonts w:ascii="Times New Roman" w:eastAsia="Times New Roman" w:hAnsi="Times New Roman" w:cs="Times New Roman"/>
          <w:sz w:val="24"/>
          <w:szCs w:val="24"/>
        </w:rPr>
      </w:pPr>
    </w:p>
    <w:p w14:paraId="0000002A"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“aquí mis pasos urden su incalculable laberinto. [...] No no</w:t>
      </w:r>
      <w:r>
        <w:rPr>
          <w:rFonts w:ascii="Times New Roman" w:eastAsia="Times New Roman" w:hAnsi="Times New Roman" w:cs="Times New Roman"/>
          <w:sz w:val="24"/>
          <w:szCs w:val="24"/>
        </w:rPr>
        <w:t>s une el amor sino el espanto”</w:t>
      </w:r>
    </w:p>
    <w:p w14:paraId="0000002B" w14:textId="77777777" w:rsidR="00D553B5" w:rsidRDefault="00D553B5">
      <w:pPr>
        <w:spacing w:line="360" w:lineRule="auto"/>
        <w:jc w:val="both"/>
        <w:rPr>
          <w:rFonts w:ascii="Times New Roman" w:eastAsia="Times New Roman" w:hAnsi="Times New Roman" w:cs="Times New Roman"/>
          <w:sz w:val="24"/>
          <w:szCs w:val="24"/>
        </w:rPr>
      </w:pPr>
    </w:p>
    <w:p w14:paraId="0000002C"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 Pr.: “rephrasing Borges’s poetic resources: they “weave their incalculable labyrinth [...] not joined by love but by threat” </w:t>
      </w:r>
    </w:p>
    <w:p w14:paraId="0000002D" w14:textId="77777777"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Borges, J. L. (1964), “</w:t>
      </w:r>
      <w:r>
        <w:rPr>
          <w:rFonts w:ascii="Times New Roman" w:eastAsia="Times New Roman" w:hAnsi="Times New Roman" w:cs="Times New Roman"/>
          <w:i/>
          <w:sz w:val="24"/>
          <w:szCs w:val="24"/>
        </w:rPr>
        <w:t>Buenos Aires</w:t>
      </w:r>
      <w:r>
        <w:rPr>
          <w:rFonts w:ascii="Times New Roman" w:eastAsia="Times New Roman" w:hAnsi="Times New Roman" w:cs="Times New Roman"/>
          <w:sz w:val="24"/>
          <w:szCs w:val="24"/>
        </w:rPr>
        <w:t>” in “</w:t>
      </w:r>
      <w:r>
        <w:rPr>
          <w:rFonts w:ascii="Times New Roman" w:eastAsia="Times New Roman" w:hAnsi="Times New Roman" w:cs="Times New Roman"/>
          <w:i/>
          <w:sz w:val="24"/>
          <w:szCs w:val="24"/>
        </w:rPr>
        <w:t xml:space="preserve">El otro, el mismo” </w:t>
      </w:r>
      <w:r>
        <w:rPr>
          <w:rFonts w:ascii="Times New Roman" w:eastAsia="Times New Roman" w:hAnsi="Times New Roman" w:cs="Times New Roman"/>
          <w:sz w:val="24"/>
          <w:szCs w:val="24"/>
        </w:rPr>
        <w:t>from “Obras completas de J</w:t>
      </w:r>
      <w:r>
        <w:rPr>
          <w:rFonts w:ascii="Times New Roman" w:eastAsia="Times New Roman" w:hAnsi="Times New Roman" w:cs="Times New Roman"/>
          <w:sz w:val="24"/>
          <w:szCs w:val="24"/>
        </w:rPr>
        <w:t>orge Luis Borges” (1923-1972). Buenos Aires: Emecé Editoriales.</w:t>
      </w:r>
    </w:p>
    <w:p w14:paraId="0000002F" w14:textId="6C811C7E" w:rsidR="00D553B5" w:rsidRDefault="004E0A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D553B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7D71"/>
    <w:multiLevelType w:val="multilevel"/>
    <w:tmpl w:val="47B0B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5"/>
    <w:rsid w:val="004E0A94"/>
    <w:rsid w:val="00D55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1CE6F8"/>
  <w15:docId w15:val="{2901402E-FC74-5643-92A2-144E6118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2722</Characters>
  <Application>Microsoft Office Word</Application>
  <DocSecurity>0</DocSecurity>
  <Lines>48</Lines>
  <Paragraphs>12</Paragraphs>
  <ScaleCrop>false</ScaleCrop>
  <Company>Leuphana Universität Lüneburg</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Belen Prado</cp:lastModifiedBy>
  <cp:revision>2</cp:revision>
  <dcterms:created xsi:type="dcterms:W3CDTF">2020-10-07T18:11:00Z</dcterms:created>
  <dcterms:modified xsi:type="dcterms:W3CDTF">2020-10-07T18:12:00Z</dcterms:modified>
</cp:coreProperties>
</file>